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2"/>
          <w:szCs w:val="32"/>
        </w:rPr>
      </w:pPr>
      <w:r>
        <w:rPr>
          <w:rFonts w:hint="eastAsia" w:ascii="微软雅黑" w:hAnsi="微软雅黑" w:eastAsia="微软雅黑"/>
          <w:sz w:val="32"/>
          <w:szCs w:val="32"/>
          <w:highlight w:val="none"/>
        </w:rPr>
        <w:t>关于</w:t>
      </w:r>
      <w:r>
        <w:rPr>
          <w:rFonts w:hint="eastAsia" w:ascii="微软雅黑" w:hAnsi="微软雅黑" w:eastAsia="微软雅黑"/>
          <w:sz w:val="32"/>
          <w:szCs w:val="32"/>
          <w:highlight w:val="none"/>
          <w:lang w:val="en-US" w:eastAsia="zh-CN"/>
        </w:rPr>
        <w:t>学校</w:t>
      </w:r>
      <w:r>
        <w:rPr>
          <w:rFonts w:ascii="微软雅黑" w:hAnsi="微软雅黑" w:eastAsia="微软雅黑"/>
          <w:sz w:val="32"/>
          <w:szCs w:val="32"/>
          <w:highlight w:val="none"/>
        </w:rPr>
        <w:t>封闭管理期</w:t>
      </w:r>
      <w:r>
        <w:rPr>
          <w:rFonts w:ascii="微软雅黑" w:hAnsi="微软雅黑" w:eastAsia="微软雅黑"/>
          <w:sz w:val="32"/>
          <w:szCs w:val="32"/>
        </w:rPr>
        <w:t>间学生工作的</w:t>
      </w:r>
      <w:r>
        <w:rPr>
          <w:rFonts w:hint="eastAsia" w:ascii="微软雅黑" w:hAnsi="微软雅黑" w:eastAsia="微软雅黑"/>
          <w:sz w:val="32"/>
          <w:szCs w:val="32"/>
        </w:rPr>
        <w:t>通知</w:t>
      </w:r>
    </w:p>
    <w:p>
      <w:pPr>
        <w:jc w:val="center"/>
        <w:rPr>
          <w:rFonts w:hint="eastAsia" w:ascii="仿宋_GB2312" w:eastAsia="仿宋_GB2312"/>
          <w:sz w:val="28"/>
          <w:szCs w:val="28"/>
        </w:rPr>
      </w:pPr>
      <w:r>
        <w:rPr>
          <w:rFonts w:hint="eastAsia" w:ascii="仿宋_GB2312" w:eastAsia="仿宋_GB2312"/>
          <w:sz w:val="28"/>
          <w:szCs w:val="28"/>
        </w:rPr>
        <w:t>（学生组3号）</w:t>
      </w:r>
    </w:p>
    <w:p>
      <w:pPr>
        <w:ind w:firstLine="560" w:firstLineChars="200"/>
        <w:rPr>
          <w:rFonts w:hint="eastAsia" w:ascii="仿宋_GB2312" w:eastAsia="仿宋_GB2312"/>
          <w:sz w:val="28"/>
          <w:szCs w:val="28"/>
        </w:rPr>
      </w:pPr>
      <w:r>
        <w:rPr>
          <w:rFonts w:hint="eastAsia" w:ascii="仿宋_GB2312" w:eastAsia="仿宋_GB2312"/>
          <w:sz w:val="28"/>
          <w:szCs w:val="28"/>
        </w:rPr>
        <w:t>一、疫情防控网格化管理，责任落</w:t>
      </w:r>
      <w:bookmarkStart w:id="0" w:name="_GoBack"/>
      <w:bookmarkEnd w:id="0"/>
      <w:r>
        <w:rPr>
          <w:rFonts w:hint="eastAsia" w:ascii="仿宋_GB2312" w:eastAsia="仿宋_GB2312"/>
          <w:sz w:val="28"/>
          <w:szCs w:val="28"/>
        </w:rPr>
        <w:t>实到人</w:t>
      </w:r>
    </w:p>
    <w:p>
      <w:pPr>
        <w:ind w:firstLine="560" w:firstLineChars="200"/>
        <w:rPr>
          <w:rFonts w:hint="eastAsia" w:ascii="仿宋_GB2312" w:eastAsia="仿宋_GB2312"/>
          <w:sz w:val="28"/>
          <w:szCs w:val="28"/>
        </w:rPr>
      </w:pPr>
      <w:r>
        <w:rPr>
          <w:rFonts w:hint="eastAsia" w:ascii="仿宋_GB2312" w:eastAsia="仿宋_GB2312"/>
          <w:sz w:val="28"/>
          <w:szCs w:val="28"/>
        </w:rPr>
        <w:t>学校学生工作组疫情防控实施网格化管理体系，责任细化到人，各二级学院</w:t>
      </w:r>
      <w:r>
        <w:rPr>
          <w:rFonts w:hint="eastAsia" w:ascii="仿宋_GB2312" w:eastAsia="仿宋_GB2312"/>
          <w:sz w:val="28"/>
          <w:szCs w:val="28"/>
          <w:highlight w:val="none"/>
        </w:rPr>
        <w:t>成立学生健康管理工作专班，每个</w:t>
      </w:r>
      <w:r>
        <w:rPr>
          <w:rFonts w:hint="eastAsia" w:ascii="仿宋_GB2312" w:eastAsia="仿宋_GB2312"/>
          <w:sz w:val="28"/>
          <w:szCs w:val="28"/>
        </w:rPr>
        <w:t>班级、宿舍学生健康管理责任到人，工作中注重沟通协调，发现问题及时处理上报，确保工作流程衔接通畅。</w:t>
      </w:r>
    </w:p>
    <w:p>
      <w:pPr>
        <w:ind w:firstLine="560" w:firstLineChars="200"/>
        <w:rPr>
          <w:rFonts w:hint="eastAsia" w:ascii="仿宋_GB2312" w:eastAsia="仿宋_GB2312"/>
          <w:sz w:val="28"/>
          <w:szCs w:val="28"/>
        </w:rPr>
      </w:pPr>
      <w:r>
        <w:rPr>
          <w:rFonts w:hint="eastAsia" w:ascii="仿宋_GB2312" w:eastAsia="仿宋_GB2312"/>
          <w:sz w:val="28"/>
          <w:szCs w:val="28"/>
        </w:rPr>
        <w:t>二、建立学生诉求反馈平台</w:t>
      </w:r>
    </w:p>
    <w:p>
      <w:pPr>
        <w:ind w:firstLine="560" w:firstLineChars="200"/>
        <w:rPr>
          <w:rFonts w:hint="eastAsia" w:ascii="仿宋_GB2312" w:eastAsia="仿宋_GB2312"/>
          <w:sz w:val="28"/>
          <w:szCs w:val="28"/>
        </w:rPr>
      </w:pPr>
      <w:r>
        <w:rPr>
          <w:rFonts w:hint="eastAsia" w:ascii="仿宋_GB2312" w:eastAsia="仿宋_GB2312"/>
          <w:sz w:val="28"/>
          <w:szCs w:val="28"/>
        </w:rPr>
        <w:t>各二级学院加强宣传，确保学生应知尽知，学生从“易班”平台选择“意见建议”进入反馈平台填写提交，引导学生客观提出自己的合理意见或建议。</w:t>
      </w:r>
    </w:p>
    <w:p>
      <w:pPr>
        <w:ind w:firstLine="560" w:firstLineChars="200"/>
        <w:rPr>
          <w:rFonts w:hint="eastAsia" w:ascii="仿宋_GB2312" w:eastAsia="仿宋_GB2312"/>
          <w:sz w:val="28"/>
          <w:szCs w:val="28"/>
        </w:rPr>
      </w:pPr>
      <w:r>
        <w:rPr>
          <w:rFonts w:hint="eastAsia" w:ascii="仿宋_GB2312" w:eastAsia="仿宋_GB2312"/>
          <w:sz w:val="28"/>
          <w:szCs w:val="28"/>
        </w:rPr>
        <w:t>三、组织好校区内文体活动</w:t>
      </w:r>
    </w:p>
    <w:p>
      <w:pPr>
        <w:ind w:firstLine="560" w:firstLineChars="200"/>
        <w:rPr>
          <w:rFonts w:hint="eastAsia" w:ascii="仿宋_GB2312" w:eastAsia="仿宋_GB2312"/>
          <w:sz w:val="28"/>
          <w:szCs w:val="28"/>
        </w:rPr>
      </w:pPr>
      <w:r>
        <w:rPr>
          <w:rFonts w:hint="eastAsia" w:ascii="仿宋_GB2312" w:eastAsia="仿宋_GB2312"/>
          <w:sz w:val="28"/>
          <w:szCs w:val="28"/>
        </w:rPr>
        <w:t>学工部（处）、校团委、各二级学院可根据实际情况组织未隔离管理学生开展小范围的室外活动或线上活动，被隔离学生可在符合隔离管理要求的前提下参与线上活动，丰富学生课余生活，缓解疫情期间心理压力。</w:t>
      </w:r>
    </w:p>
    <w:p>
      <w:pPr>
        <w:ind w:firstLine="560" w:firstLineChars="200"/>
        <w:rPr>
          <w:rFonts w:hint="eastAsia" w:ascii="仿宋_GB2312" w:eastAsia="仿宋_GB2312"/>
          <w:sz w:val="28"/>
          <w:szCs w:val="28"/>
        </w:rPr>
      </w:pPr>
      <w:r>
        <w:rPr>
          <w:rFonts w:hint="eastAsia" w:ascii="仿宋_GB2312" w:eastAsia="仿宋_GB2312"/>
          <w:sz w:val="28"/>
          <w:szCs w:val="28"/>
        </w:rPr>
        <w:t>四、进一步压实联合值班责任</w:t>
      </w:r>
    </w:p>
    <w:p>
      <w:pPr>
        <w:ind w:firstLine="560" w:firstLineChars="200"/>
        <w:rPr>
          <w:rFonts w:hint="eastAsia" w:ascii="仿宋_GB2312" w:eastAsia="仿宋_GB2312"/>
          <w:sz w:val="28"/>
          <w:szCs w:val="28"/>
        </w:rPr>
      </w:pPr>
      <w:r>
        <w:rPr>
          <w:rFonts w:hint="eastAsia" w:ascii="仿宋_GB2312" w:eastAsia="仿宋_GB2312"/>
          <w:sz w:val="28"/>
          <w:szCs w:val="28"/>
        </w:rPr>
        <w:t>夜间联合值班人员务必全程在校值班值守，电话24小时保持畅通，切实履职尽责，发现问题要及时处理，处理不了的要及时上报或协调相关部门协助处理。</w:t>
      </w:r>
    </w:p>
    <w:p>
      <w:pPr>
        <w:ind w:firstLine="560" w:firstLineChars="200"/>
        <w:rPr>
          <w:rFonts w:hint="eastAsia" w:ascii="仿宋_GB2312" w:eastAsia="仿宋_GB2312"/>
          <w:sz w:val="28"/>
          <w:szCs w:val="28"/>
        </w:rPr>
      </w:pPr>
      <w:r>
        <w:rPr>
          <w:rFonts w:hint="eastAsia" w:ascii="仿宋_GB2312" w:eastAsia="仿宋_GB2312"/>
          <w:sz w:val="28"/>
          <w:szCs w:val="28"/>
        </w:rPr>
        <w:t>五、引导学生积极参加“步道乐跑”等体育锻炼</w:t>
      </w:r>
    </w:p>
    <w:p>
      <w:pPr>
        <w:ind w:firstLine="560" w:firstLineChars="200"/>
        <w:rPr>
          <w:rFonts w:hint="eastAsia" w:ascii="仿宋_GB2312" w:eastAsia="仿宋_GB2312"/>
          <w:sz w:val="28"/>
          <w:szCs w:val="28"/>
        </w:rPr>
      </w:pPr>
      <w:r>
        <w:rPr>
          <w:rFonts w:hint="eastAsia" w:ascii="仿宋_GB2312" w:eastAsia="仿宋_GB2312"/>
          <w:sz w:val="28"/>
          <w:szCs w:val="28"/>
        </w:rPr>
        <w:t>引导非隔离学生按照要求参加“步道乐跑”，隔离学生各学院建立台账（参照表1样式，最终以Excel表格汇总），后期一并和学校体育教学部协调沟通。</w:t>
      </w:r>
    </w:p>
    <w:p>
      <w:pPr>
        <w:jc w:val="center"/>
        <w:rPr>
          <w:rFonts w:hint="eastAsia" w:ascii="仿宋_GB2312" w:eastAsia="仿宋_GB2312"/>
          <w:sz w:val="28"/>
          <w:szCs w:val="28"/>
        </w:rPr>
      </w:pPr>
      <w:r>
        <w:rPr>
          <w:rFonts w:hint="eastAsia" w:ascii="仿宋_GB2312" w:eastAsia="仿宋_GB2312"/>
          <w:sz w:val="28"/>
          <w:szCs w:val="28"/>
        </w:rPr>
        <w:t>表1 **学院隔离学生台账表（样表）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308"/>
        <w:gridCol w:w="953"/>
        <w:gridCol w:w="953"/>
        <w:gridCol w:w="953"/>
        <w:gridCol w:w="1351"/>
        <w:gridCol w:w="129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Pr>
          <w:p>
            <w:pPr>
              <w:spacing w:line="240" w:lineRule="exact"/>
              <w:jc w:val="center"/>
              <w:rPr>
                <w:rFonts w:hint="eastAsia" w:ascii="仿宋_GB2312" w:eastAsia="仿宋_GB2312"/>
                <w:szCs w:val="21"/>
              </w:rPr>
            </w:pPr>
            <w:r>
              <w:rPr>
                <w:rFonts w:hint="eastAsia" w:ascii="仿宋_GB2312" w:eastAsia="仿宋_GB2312"/>
                <w:szCs w:val="21"/>
              </w:rPr>
              <w:t>序号</w:t>
            </w:r>
          </w:p>
        </w:tc>
        <w:tc>
          <w:tcPr>
            <w:tcW w:w="1308" w:type="dxa"/>
          </w:tcPr>
          <w:p>
            <w:pPr>
              <w:spacing w:line="240" w:lineRule="exact"/>
              <w:jc w:val="center"/>
              <w:rPr>
                <w:rFonts w:hint="eastAsia" w:ascii="仿宋_GB2312" w:eastAsia="仿宋_GB2312"/>
                <w:szCs w:val="21"/>
              </w:rPr>
            </w:pPr>
            <w:r>
              <w:rPr>
                <w:rFonts w:hint="eastAsia" w:ascii="仿宋_GB2312" w:eastAsia="仿宋_GB2312"/>
                <w:szCs w:val="21"/>
              </w:rPr>
              <w:t>学院</w:t>
            </w:r>
          </w:p>
        </w:tc>
        <w:tc>
          <w:tcPr>
            <w:tcW w:w="953" w:type="dxa"/>
          </w:tcPr>
          <w:p>
            <w:pPr>
              <w:spacing w:line="240" w:lineRule="exact"/>
              <w:jc w:val="center"/>
              <w:rPr>
                <w:rFonts w:hint="eastAsia" w:ascii="仿宋_GB2312" w:eastAsia="仿宋_GB2312"/>
                <w:szCs w:val="21"/>
              </w:rPr>
            </w:pPr>
            <w:r>
              <w:rPr>
                <w:rFonts w:hint="eastAsia" w:ascii="仿宋_GB2312" w:eastAsia="仿宋_GB2312"/>
                <w:szCs w:val="21"/>
              </w:rPr>
              <w:t>学号</w:t>
            </w:r>
          </w:p>
        </w:tc>
        <w:tc>
          <w:tcPr>
            <w:tcW w:w="953" w:type="dxa"/>
          </w:tcPr>
          <w:p>
            <w:pPr>
              <w:spacing w:line="240" w:lineRule="exact"/>
              <w:jc w:val="center"/>
              <w:rPr>
                <w:rFonts w:hint="eastAsia" w:ascii="仿宋_GB2312" w:eastAsia="仿宋_GB2312"/>
                <w:szCs w:val="21"/>
              </w:rPr>
            </w:pPr>
            <w:r>
              <w:rPr>
                <w:rFonts w:hint="eastAsia" w:ascii="仿宋_GB2312" w:eastAsia="仿宋_GB2312"/>
                <w:szCs w:val="21"/>
              </w:rPr>
              <w:t>姓名</w:t>
            </w:r>
          </w:p>
        </w:tc>
        <w:tc>
          <w:tcPr>
            <w:tcW w:w="953" w:type="dxa"/>
          </w:tcPr>
          <w:p>
            <w:pPr>
              <w:spacing w:line="240" w:lineRule="exact"/>
              <w:jc w:val="center"/>
              <w:rPr>
                <w:rFonts w:hint="eastAsia" w:ascii="仿宋_GB2312" w:eastAsia="仿宋_GB2312"/>
                <w:szCs w:val="21"/>
              </w:rPr>
            </w:pPr>
            <w:r>
              <w:rPr>
                <w:rFonts w:hint="eastAsia" w:ascii="仿宋_GB2312" w:eastAsia="仿宋_GB2312"/>
                <w:szCs w:val="21"/>
              </w:rPr>
              <w:t>班级</w:t>
            </w:r>
          </w:p>
        </w:tc>
        <w:tc>
          <w:tcPr>
            <w:tcW w:w="1351" w:type="dxa"/>
          </w:tcPr>
          <w:p>
            <w:pPr>
              <w:spacing w:line="240" w:lineRule="exact"/>
              <w:jc w:val="center"/>
              <w:rPr>
                <w:rFonts w:hint="eastAsia" w:ascii="仿宋_GB2312" w:eastAsia="仿宋_GB2312"/>
                <w:szCs w:val="21"/>
              </w:rPr>
            </w:pPr>
            <w:r>
              <w:rPr>
                <w:rFonts w:hint="eastAsia" w:ascii="仿宋_GB2312" w:eastAsia="仿宋_GB2312"/>
                <w:szCs w:val="21"/>
              </w:rPr>
              <w:t>隔离开始</w:t>
            </w:r>
          </w:p>
          <w:p>
            <w:pPr>
              <w:spacing w:line="240" w:lineRule="exact"/>
              <w:jc w:val="center"/>
              <w:rPr>
                <w:rFonts w:hint="eastAsia" w:ascii="仿宋_GB2312" w:eastAsia="仿宋_GB2312"/>
                <w:szCs w:val="21"/>
              </w:rPr>
            </w:pPr>
            <w:r>
              <w:rPr>
                <w:rFonts w:hint="eastAsia" w:ascii="仿宋_GB2312" w:eastAsia="仿宋_GB2312"/>
                <w:szCs w:val="21"/>
              </w:rPr>
              <w:t>日期</w:t>
            </w:r>
          </w:p>
        </w:tc>
        <w:tc>
          <w:tcPr>
            <w:tcW w:w="1298" w:type="dxa"/>
          </w:tcPr>
          <w:p>
            <w:pPr>
              <w:spacing w:line="240" w:lineRule="exact"/>
              <w:jc w:val="center"/>
              <w:rPr>
                <w:rFonts w:hint="eastAsia" w:ascii="仿宋_GB2312" w:eastAsia="仿宋_GB2312"/>
                <w:szCs w:val="21"/>
              </w:rPr>
            </w:pPr>
            <w:r>
              <w:rPr>
                <w:rFonts w:hint="eastAsia" w:ascii="仿宋_GB2312" w:eastAsia="仿宋_GB2312"/>
                <w:szCs w:val="21"/>
              </w:rPr>
              <w:t>隔离结束</w:t>
            </w:r>
          </w:p>
          <w:p>
            <w:pPr>
              <w:spacing w:line="240" w:lineRule="exact"/>
              <w:jc w:val="center"/>
              <w:rPr>
                <w:rFonts w:hint="eastAsia" w:ascii="仿宋_GB2312" w:eastAsia="仿宋_GB2312"/>
                <w:szCs w:val="21"/>
              </w:rPr>
            </w:pPr>
            <w:r>
              <w:rPr>
                <w:rFonts w:hint="eastAsia" w:ascii="仿宋_GB2312" w:eastAsia="仿宋_GB2312"/>
                <w:szCs w:val="21"/>
              </w:rPr>
              <w:t>日期</w:t>
            </w:r>
          </w:p>
        </w:tc>
        <w:tc>
          <w:tcPr>
            <w:tcW w:w="1109" w:type="dxa"/>
          </w:tcPr>
          <w:p>
            <w:pPr>
              <w:spacing w:line="240" w:lineRule="exact"/>
              <w:jc w:val="center"/>
              <w:rPr>
                <w:rFonts w:hint="eastAsia" w:ascii="仿宋_GB2312" w:eastAsia="仿宋_GB2312"/>
                <w:szCs w:val="21"/>
              </w:rPr>
            </w:pPr>
            <w:r>
              <w:rPr>
                <w:rFonts w:hint="eastAsia" w:ascii="仿宋_GB2312"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Pr>
          <w:p>
            <w:pPr>
              <w:rPr>
                <w:rFonts w:hint="eastAsia" w:ascii="仿宋_GB2312" w:eastAsia="仿宋_GB2312"/>
                <w:szCs w:val="21"/>
              </w:rPr>
            </w:pPr>
            <w:r>
              <w:rPr>
                <w:rFonts w:hint="eastAsia" w:ascii="仿宋_GB2312" w:eastAsia="仿宋_GB2312"/>
                <w:szCs w:val="21"/>
              </w:rPr>
              <w:t>1</w:t>
            </w:r>
          </w:p>
        </w:tc>
        <w:tc>
          <w:tcPr>
            <w:tcW w:w="1308" w:type="dxa"/>
          </w:tcPr>
          <w:p>
            <w:pPr>
              <w:rPr>
                <w:rFonts w:hint="eastAsia" w:ascii="仿宋_GB2312" w:eastAsia="仿宋_GB2312"/>
                <w:szCs w:val="21"/>
              </w:rPr>
            </w:pPr>
            <w:r>
              <w:rPr>
                <w:rFonts w:hint="eastAsia" w:ascii="仿宋_GB2312" w:eastAsia="仿宋_GB2312"/>
                <w:szCs w:val="21"/>
              </w:rPr>
              <w:t>高铁学院</w:t>
            </w:r>
          </w:p>
        </w:tc>
        <w:tc>
          <w:tcPr>
            <w:tcW w:w="953" w:type="dxa"/>
          </w:tcPr>
          <w:p>
            <w:pPr>
              <w:rPr>
                <w:rFonts w:hint="eastAsia" w:ascii="仿宋_GB2312" w:eastAsia="仿宋_GB2312"/>
                <w:szCs w:val="21"/>
              </w:rPr>
            </w:pPr>
          </w:p>
        </w:tc>
        <w:tc>
          <w:tcPr>
            <w:tcW w:w="953" w:type="dxa"/>
          </w:tcPr>
          <w:p>
            <w:pPr>
              <w:rPr>
                <w:rFonts w:hint="eastAsia" w:ascii="仿宋_GB2312" w:eastAsia="仿宋_GB2312"/>
                <w:szCs w:val="21"/>
              </w:rPr>
            </w:pPr>
          </w:p>
        </w:tc>
        <w:tc>
          <w:tcPr>
            <w:tcW w:w="953" w:type="dxa"/>
          </w:tcPr>
          <w:p>
            <w:pPr>
              <w:rPr>
                <w:rFonts w:hint="eastAsia" w:ascii="仿宋_GB2312" w:eastAsia="仿宋_GB2312"/>
                <w:szCs w:val="21"/>
              </w:rPr>
            </w:pPr>
          </w:p>
        </w:tc>
        <w:tc>
          <w:tcPr>
            <w:tcW w:w="1351" w:type="dxa"/>
          </w:tcPr>
          <w:p>
            <w:pPr>
              <w:rPr>
                <w:rFonts w:hint="eastAsia" w:ascii="仿宋_GB2312" w:eastAsia="仿宋_GB2312"/>
                <w:szCs w:val="21"/>
              </w:rPr>
            </w:pPr>
            <w:r>
              <w:rPr>
                <w:rFonts w:hint="eastAsia" w:ascii="仿宋_GB2312" w:eastAsia="仿宋_GB2312"/>
                <w:szCs w:val="21"/>
              </w:rPr>
              <w:t>20211015</w:t>
            </w:r>
          </w:p>
        </w:tc>
        <w:tc>
          <w:tcPr>
            <w:tcW w:w="1298" w:type="dxa"/>
          </w:tcPr>
          <w:p>
            <w:pPr>
              <w:rPr>
                <w:rFonts w:hint="eastAsia" w:ascii="仿宋_GB2312" w:eastAsia="仿宋_GB2312"/>
                <w:szCs w:val="21"/>
              </w:rPr>
            </w:pPr>
            <w:r>
              <w:rPr>
                <w:rFonts w:hint="eastAsia" w:ascii="仿宋_GB2312" w:eastAsia="仿宋_GB2312"/>
                <w:szCs w:val="21"/>
              </w:rPr>
              <w:t>20211029</w:t>
            </w:r>
          </w:p>
        </w:tc>
        <w:tc>
          <w:tcPr>
            <w:tcW w:w="1109" w:type="dxa"/>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Pr>
          <w:p>
            <w:pPr>
              <w:rPr>
                <w:rFonts w:hint="eastAsia" w:ascii="仿宋_GB2312" w:eastAsia="仿宋_GB2312"/>
                <w:szCs w:val="21"/>
              </w:rPr>
            </w:pPr>
          </w:p>
        </w:tc>
        <w:tc>
          <w:tcPr>
            <w:tcW w:w="1308" w:type="dxa"/>
          </w:tcPr>
          <w:p>
            <w:pPr>
              <w:rPr>
                <w:rFonts w:hint="eastAsia" w:ascii="仿宋_GB2312" w:eastAsia="仿宋_GB2312"/>
                <w:szCs w:val="21"/>
              </w:rPr>
            </w:pPr>
          </w:p>
        </w:tc>
        <w:tc>
          <w:tcPr>
            <w:tcW w:w="953" w:type="dxa"/>
          </w:tcPr>
          <w:p>
            <w:pPr>
              <w:rPr>
                <w:rFonts w:hint="eastAsia" w:ascii="仿宋_GB2312" w:eastAsia="仿宋_GB2312"/>
                <w:szCs w:val="21"/>
              </w:rPr>
            </w:pPr>
          </w:p>
        </w:tc>
        <w:tc>
          <w:tcPr>
            <w:tcW w:w="953" w:type="dxa"/>
          </w:tcPr>
          <w:p>
            <w:pPr>
              <w:rPr>
                <w:rFonts w:hint="eastAsia" w:ascii="仿宋_GB2312" w:eastAsia="仿宋_GB2312"/>
                <w:szCs w:val="21"/>
              </w:rPr>
            </w:pPr>
          </w:p>
        </w:tc>
        <w:tc>
          <w:tcPr>
            <w:tcW w:w="953" w:type="dxa"/>
          </w:tcPr>
          <w:p>
            <w:pPr>
              <w:rPr>
                <w:rFonts w:hint="eastAsia" w:ascii="仿宋_GB2312" w:eastAsia="仿宋_GB2312"/>
                <w:szCs w:val="21"/>
              </w:rPr>
            </w:pPr>
          </w:p>
        </w:tc>
        <w:tc>
          <w:tcPr>
            <w:tcW w:w="1351" w:type="dxa"/>
          </w:tcPr>
          <w:p>
            <w:pPr>
              <w:rPr>
                <w:rFonts w:hint="eastAsia" w:ascii="仿宋_GB2312" w:eastAsia="仿宋_GB2312"/>
                <w:szCs w:val="21"/>
              </w:rPr>
            </w:pPr>
          </w:p>
        </w:tc>
        <w:tc>
          <w:tcPr>
            <w:tcW w:w="1298" w:type="dxa"/>
          </w:tcPr>
          <w:p>
            <w:pPr>
              <w:rPr>
                <w:rFonts w:hint="eastAsia" w:ascii="仿宋_GB2312" w:eastAsia="仿宋_GB2312"/>
                <w:szCs w:val="21"/>
              </w:rPr>
            </w:pPr>
          </w:p>
        </w:tc>
        <w:tc>
          <w:tcPr>
            <w:tcW w:w="1109" w:type="dxa"/>
          </w:tcPr>
          <w:p>
            <w:pPr>
              <w:rPr>
                <w:rFonts w:hint="eastAsia" w:ascii="仿宋_GB2312" w:eastAsia="仿宋_GB2312"/>
                <w:szCs w:val="21"/>
              </w:rPr>
            </w:pPr>
          </w:p>
        </w:tc>
      </w:tr>
    </w:tbl>
    <w:p>
      <w:pPr>
        <w:ind w:firstLine="560" w:firstLineChars="200"/>
        <w:rPr>
          <w:rFonts w:hint="eastAsia" w:ascii="仿宋_GB2312" w:eastAsia="仿宋_GB2312"/>
          <w:sz w:val="28"/>
          <w:szCs w:val="28"/>
        </w:rPr>
      </w:pPr>
      <w:r>
        <w:rPr>
          <w:rFonts w:hint="eastAsia" w:ascii="仿宋_GB2312" w:eastAsia="仿宋_GB2312"/>
          <w:sz w:val="28"/>
          <w:szCs w:val="28"/>
        </w:rPr>
        <w:t>六、扎实开展防疫知识宣传</w:t>
      </w:r>
    </w:p>
    <w:p>
      <w:pPr>
        <w:ind w:firstLine="560" w:firstLineChars="200"/>
        <w:rPr>
          <w:rFonts w:hint="eastAsia" w:ascii="仿宋_GB2312" w:eastAsia="仿宋_GB2312"/>
          <w:sz w:val="28"/>
          <w:szCs w:val="28"/>
        </w:rPr>
      </w:pPr>
      <w:r>
        <w:rPr>
          <w:rFonts w:hint="eastAsia" w:ascii="仿宋_GB2312" w:eastAsia="仿宋_GB2312"/>
          <w:sz w:val="28"/>
          <w:szCs w:val="28"/>
        </w:rPr>
        <w:t>利用微信公众号、微信群、QQ群、班会等形式加强防疫知识和心理健康知识宣传、宣讲，科普疫情防控知识和心理健康知识，提高学生防疫能力和自我心理调适能力。</w:t>
      </w:r>
    </w:p>
    <w:p>
      <w:pPr>
        <w:ind w:firstLine="560" w:firstLineChars="200"/>
        <w:rPr>
          <w:rFonts w:hint="eastAsia" w:ascii="仿宋_GB2312" w:eastAsia="仿宋_GB2312"/>
          <w:sz w:val="28"/>
          <w:szCs w:val="28"/>
        </w:rPr>
      </w:pPr>
      <w:r>
        <w:rPr>
          <w:rFonts w:hint="eastAsia" w:ascii="仿宋_GB2312" w:eastAsia="仿宋_GB2312"/>
          <w:sz w:val="28"/>
          <w:szCs w:val="28"/>
        </w:rPr>
        <w:t>七、加强与隔离学生的沟通交流</w:t>
      </w:r>
    </w:p>
    <w:p>
      <w:pPr>
        <w:ind w:firstLine="560" w:firstLineChars="200"/>
        <w:rPr>
          <w:rFonts w:hint="eastAsia" w:ascii="仿宋_GB2312" w:eastAsia="仿宋_GB2312"/>
          <w:sz w:val="28"/>
          <w:szCs w:val="28"/>
        </w:rPr>
      </w:pPr>
      <w:r>
        <w:rPr>
          <w:rFonts w:hint="eastAsia" w:ascii="仿宋_GB2312" w:eastAsia="仿宋_GB2312"/>
          <w:sz w:val="28"/>
          <w:szCs w:val="28"/>
        </w:rPr>
        <w:t>每个被隔离的宿舍建立微信群，辅导员、班主任要入群，每天要与隔离学生进行沟通，及时关注学生思想动态，做好学生安抚工作。</w:t>
      </w:r>
    </w:p>
    <w:p>
      <w:pPr>
        <w:ind w:firstLine="420"/>
        <w:rPr>
          <w:rFonts w:hint="eastAsia" w:ascii="仿宋_GB2312" w:eastAsia="仿宋_GB2312"/>
          <w:sz w:val="28"/>
          <w:szCs w:val="28"/>
        </w:rPr>
      </w:pPr>
    </w:p>
    <w:p>
      <w:pPr>
        <w:ind w:firstLine="420"/>
        <w:rPr>
          <w:rFonts w:hint="eastAsia" w:ascii="仿宋_GB2312" w:eastAsia="仿宋_GB2312"/>
          <w:sz w:val="28"/>
          <w:szCs w:val="28"/>
        </w:rPr>
      </w:pPr>
    </w:p>
    <w:p>
      <w:pPr>
        <w:ind w:firstLine="420"/>
        <w:rPr>
          <w:rFonts w:hint="eastAsia" w:ascii="仿宋_GB2312" w:eastAsia="仿宋_GB2312"/>
          <w:sz w:val="28"/>
          <w:szCs w:val="28"/>
        </w:rPr>
      </w:pPr>
    </w:p>
    <w:p>
      <w:pPr>
        <w:ind w:firstLine="420"/>
        <w:jc w:val="center"/>
        <w:rPr>
          <w:rFonts w:hint="eastAsia" w:ascii="仿宋_GB2312" w:eastAsia="仿宋_GB2312"/>
          <w:sz w:val="28"/>
          <w:szCs w:val="28"/>
        </w:rPr>
      </w:pPr>
      <w:r>
        <w:rPr>
          <w:rFonts w:hint="eastAsia" w:ascii="仿宋_GB2312" w:eastAsia="仿宋_GB2312"/>
          <w:sz w:val="28"/>
          <w:szCs w:val="28"/>
        </w:rPr>
        <w:t xml:space="preserve">                                       学生处</w:t>
      </w:r>
    </w:p>
    <w:p>
      <w:pPr>
        <w:ind w:firstLine="420"/>
        <w:jc w:val="right"/>
        <w:rPr>
          <w:rFonts w:hint="eastAsia" w:ascii="仿宋_GB2312" w:eastAsia="仿宋_GB2312"/>
          <w:sz w:val="28"/>
          <w:szCs w:val="28"/>
        </w:rPr>
      </w:pPr>
      <w:r>
        <w:rPr>
          <w:rFonts w:hint="eastAsia" w:ascii="仿宋_GB2312" w:eastAsia="仿宋_GB2312"/>
          <w:sz w:val="28"/>
          <w:szCs w:val="28"/>
        </w:rPr>
        <w:t>2021年10月21日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83"/>
    <w:rsid w:val="00010C95"/>
    <w:rsid w:val="000A25B6"/>
    <w:rsid w:val="002860BB"/>
    <w:rsid w:val="0034718E"/>
    <w:rsid w:val="00373B3B"/>
    <w:rsid w:val="00384CA1"/>
    <w:rsid w:val="004E3021"/>
    <w:rsid w:val="0052499F"/>
    <w:rsid w:val="005D5145"/>
    <w:rsid w:val="00607336"/>
    <w:rsid w:val="00713E74"/>
    <w:rsid w:val="007D0509"/>
    <w:rsid w:val="008E65AB"/>
    <w:rsid w:val="00B53DAE"/>
    <w:rsid w:val="00B54083"/>
    <w:rsid w:val="00BC290F"/>
    <w:rsid w:val="00BE137D"/>
    <w:rsid w:val="00C062F9"/>
    <w:rsid w:val="00C95616"/>
    <w:rsid w:val="00D731EC"/>
    <w:rsid w:val="00E73E55"/>
    <w:rsid w:val="00E824AC"/>
    <w:rsid w:val="00F83AD9"/>
    <w:rsid w:val="0B570E88"/>
    <w:rsid w:val="0CF5210B"/>
    <w:rsid w:val="2A2B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694</Characters>
  <Lines>5</Lines>
  <Paragraphs>1</Paragraphs>
  <TotalTime>41</TotalTime>
  <ScaleCrop>false</ScaleCrop>
  <LinksUpToDate>false</LinksUpToDate>
  <CharactersWithSpaces>814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2021-10-21T08:53:00Z</dcterms:created>
  <dc:creator>DELL</dc:creator>
  <cp:lastModifiedBy>单程车票</cp:lastModifiedBy>
  <cp:lastPrinted>2021-10-21T01:02:00Z</cp:lastPrinted>
  <dcterms:modified xsi:type="dcterms:W3CDTF">2021-10-21T13:47:57Z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D77E44BBDBA64064890B8A96D06BC5DD</vt:lpwstr>
  </property>
</Properties>
</file>